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A13E8BC" w14:textId="5A3C1B63" w:rsidR="002E140D" w:rsidRDefault="00DE20CF">
      <w:r>
        <w:rPr>
          <w:noProof/>
        </w:rPr>
        <w:drawing>
          <wp:inline distT="0" distB="0" distL="0" distR="0" wp14:anchorId="02F75B73" wp14:editId="58FE3D3C">
            <wp:extent cx="36317781" cy="1080000"/>
            <wp:effectExtent l="0" t="0" r="0" b="635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317781" cy="10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F38433" w14:textId="157B738C" w:rsidR="00DE20CF" w:rsidRDefault="00DE20CF">
      <w:r w:rsidRPr="00DE20CF">
        <w:t xml:space="preserve">Fig. S1. Aspartyl tRNA-synthetase motif </w:t>
      </w:r>
      <w:r>
        <w:t>(</w:t>
      </w:r>
      <w:r w:rsidRPr="00DE20CF">
        <w:t>PF00152</w:t>
      </w:r>
      <w:r>
        <w:t xml:space="preserve">) </w:t>
      </w:r>
      <w:r w:rsidRPr="00DE20CF">
        <w:t xml:space="preserve">sequencing of all proteins in </w:t>
      </w:r>
      <w:r w:rsidRPr="00DE20CF">
        <w:rPr>
          <w:i/>
          <w:iCs/>
        </w:rPr>
        <w:t xml:space="preserve">P. </w:t>
      </w:r>
      <w:proofErr w:type="spellStart"/>
      <w:r w:rsidRPr="00DE20CF">
        <w:rPr>
          <w:i/>
          <w:iCs/>
        </w:rPr>
        <w:t>trichocarpa</w:t>
      </w:r>
      <w:proofErr w:type="spellEnd"/>
      <w:r w:rsidRPr="00DE20CF">
        <w:t xml:space="preserve">. Numbers on the x-axis represent sequence positions in the Aspartyl tRNA-synthetase pattern. The numbers on the y-axis represent information content measured in bits. Serial logos are generated using the </w:t>
      </w:r>
      <w:proofErr w:type="spellStart"/>
      <w:r w:rsidRPr="00DE20CF">
        <w:t>WebLogo</w:t>
      </w:r>
      <w:proofErr w:type="spellEnd"/>
      <w:r w:rsidRPr="00DE20CF">
        <w:t xml:space="preserve"> tool.</w:t>
      </w:r>
    </w:p>
    <w:p w14:paraId="3C0C83F2" w14:textId="77777777" w:rsidR="00DE20CF" w:rsidRDefault="00DE20CF">
      <w:pPr>
        <w:widowControl/>
        <w:jc w:val="left"/>
      </w:pPr>
      <w:r>
        <w:br w:type="page"/>
      </w:r>
    </w:p>
    <w:p w14:paraId="5B8B990D" w14:textId="7F22CA7D" w:rsidR="00DE20CF" w:rsidRDefault="00DE20CF">
      <w:r>
        <w:rPr>
          <w:rFonts w:hint="eastAsia"/>
          <w:noProof/>
        </w:rPr>
        <w:lastRenderedPageBreak/>
        <w:drawing>
          <wp:inline distT="0" distB="0" distL="0" distR="0" wp14:anchorId="7F19CDD1" wp14:editId="19A8E340">
            <wp:extent cx="5274310" cy="2858770"/>
            <wp:effectExtent l="0" t="0" r="2540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587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BF1F1C" w14:textId="7723B367" w:rsidR="00DE20CF" w:rsidRDefault="00DE20CF">
      <w:r w:rsidRPr="00DE20CF">
        <w:t xml:space="preserve">Fig. S2. Representative </w:t>
      </w:r>
      <w:proofErr w:type="spellStart"/>
      <w:r w:rsidRPr="00DE20CF">
        <w:t>PtrIBIs</w:t>
      </w:r>
      <w:proofErr w:type="spellEnd"/>
      <w:r w:rsidRPr="00DE20CF">
        <w:t xml:space="preserve"> protein sequence alignment of each species. (a) Using CLUSTALX to compare </w:t>
      </w:r>
      <w:r w:rsidRPr="00DE20CF">
        <w:rPr>
          <w:i/>
          <w:iCs/>
        </w:rPr>
        <w:t>PtrIBI4</w:t>
      </w:r>
      <w:r w:rsidRPr="00DE20CF">
        <w:t xml:space="preserve"> (</w:t>
      </w:r>
      <w:r w:rsidRPr="00DE20CF">
        <w:rPr>
          <w:i/>
          <w:iCs/>
        </w:rPr>
        <w:t xml:space="preserve">P. </w:t>
      </w:r>
      <w:proofErr w:type="spellStart"/>
      <w:r w:rsidRPr="00DE20CF">
        <w:rPr>
          <w:i/>
          <w:iCs/>
        </w:rPr>
        <w:t>trichocarpa</w:t>
      </w:r>
      <w:proofErr w:type="spellEnd"/>
      <w:r w:rsidRPr="00DE20CF">
        <w:t xml:space="preserve">), </w:t>
      </w:r>
      <w:r w:rsidRPr="00DE20CF">
        <w:rPr>
          <w:i/>
          <w:iCs/>
        </w:rPr>
        <w:t>SpIBI4</w:t>
      </w:r>
      <w:r w:rsidRPr="00DE20CF">
        <w:t xml:space="preserve"> (</w:t>
      </w:r>
      <w:proofErr w:type="spellStart"/>
      <w:proofErr w:type="gramStart"/>
      <w:r w:rsidRPr="00DE20CF">
        <w:rPr>
          <w:i/>
          <w:iCs/>
        </w:rPr>
        <w:t>S.purpurea</w:t>
      </w:r>
      <w:proofErr w:type="spellEnd"/>
      <w:proofErr w:type="gramEnd"/>
      <w:r w:rsidRPr="00DE20CF">
        <w:t xml:space="preserve">), </w:t>
      </w:r>
      <w:r w:rsidRPr="00DE20CF">
        <w:rPr>
          <w:i/>
          <w:iCs/>
        </w:rPr>
        <w:t>MdIBI6</w:t>
      </w:r>
      <w:r w:rsidRPr="00DE20CF">
        <w:t xml:space="preserve"> (</w:t>
      </w:r>
      <w:r w:rsidRPr="00DE20CF">
        <w:rPr>
          <w:i/>
          <w:iCs/>
        </w:rPr>
        <w:t>M. domestica</w:t>
      </w:r>
      <w:r w:rsidRPr="00DE20CF">
        <w:t xml:space="preserve">), </w:t>
      </w:r>
      <w:r w:rsidRPr="00DE20CF">
        <w:rPr>
          <w:i/>
          <w:iCs/>
        </w:rPr>
        <w:t>AtIBI1</w:t>
      </w:r>
      <w:r w:rsidRPr="00DE20CF">
        <w:t xml:space="preserve"> (</w:t>
      </w:r>
      <w:r w:rsidRPr="00DE20CF">
        <w:rPr>
          <w:i/>
          <w:iCs/>
        </w:rPr>
        <w:t>A. thaliana</w:t>
      </w:r>
      <w:r w:rsidRPr="00DE20CF">
        <w:t xml:space="preserve">), </w:t>
      </w:r>
      <w:r w:rsidRPr="00DE20CF">
        <w:rPr>
          <w:i/>
          <w:iCs/>
        </w:rPr>
        <w:t xml:space="preserve">OsIBI3 </w:t>
      </w:r>
      <w:r w:rsidRPr="00DE20CF">
        <w:t>(</w:t>
      </w:r>
      <w:proofErr w:type="spellStart"/>
      <w:r w:rsidRPr="00DE20CF">
        <w:rPr>
          <w:i/>
          <w:iCs/>
        </w:rPr>
        <w:t>O.sativa</w:t>
      </w:r>
      <w:proofErr w:type="spellEnd"/>
      <w:r w:rsidRPr="00DE20CF">
        <w:t xml:space="preserve">). (b) Predicted protein tertiary structure of </w:t>
      </w:r>
      <w:r w:rsidRPr="00DE20CF">
        <w:rPr>
          <w:i/>
          <w:iCs/>
        </w:rPr>
        <w:t xml:space="preserve">PtrIBI4 </w:t>
      </w:r>
      <w:r w:rsidRPr="00DE20CF">
        <w:t>(</w:t>
      </w:r>
      <w:r w:rsidRPr="00DE20CF">
        <w:rPr>
          <w:i/>
          <w:iCs/>
        </w:rPr>
        <w:t xml:space="preserve">P. </w:t>
      </w:r>
      <w:proofErr w:type="spellStart"/>
      <w:r w:rsidRPr="00DE20CF">
        <w:rPr>
          <w:i/>
          <w:iCs/>
        </w:rPr>
        <w:t>trichocarpa</w:t>
      </w:r>
      <w:proofErr w:type="spellEnd"/>
      <w:r w:rsidRPr="00DE20CF">
        <w:t xml:space="preserve">) and </w:t>
      </w:r>
      <w:r w:rsidRPr="00DE20CF">
        <w:rPr>
          <w:i/>
          <w:iCs/>
        </w:rPr>
        <w:t xml:space="preserve">AtIBI1 </w:t>
      </w:r>
      <w:r w:rsidRPr="00DE20CF">
        <w:t>(</w:t>
      </w:r>
      <w:r w:rsidRPr="00DE20CF">
        <w:rPr>
          <w:i/>
          <w:iCs/>
        </w:rPr>
        <w:t>A. thaliana</w:t>
      </w:r>
      <w:r w:rsidRPr="00DE20CF">
        <w:t>).</w:t>
      </w:r>
    </w:p>
    <w:p w14:paraId="2FA67AE4" w14:textId="77777777" w:rsidR="00DE20CF" w:rsidRDefault="00DE20CF">
      <w:pPr>
        <w:widowControl/>
        <w:jc w:val="left"/>
      </w:pPr>
      <w:r>
        <w:br w:type="page"/>
      </w:r>
    </w:p>
    <w:p w14:paraId="64539FBB" w14:textId="6B4A5630" w:rsidR="00DE20CF" w:rsidRDefault="00DE20CF">
      <w:r>
        <w:rPr>
          <w:rFonts w:hint="eastAsia"/>
          <w:noProof/>
        </w:rPr>
        <w:lastRenderedPageBreak/>
        <w:drawing>
          <wp:inline distT="0" distB="0" distL="0" distR="0" wp14:anchorId="4624A043" wp14:editId="1E307A11">
            <wp:extent cx="5274310" cy="3119120"/>
            <wp:effectExtent l="0" t="0" r="2540" b="508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119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drawing>
          <wp:inline distT="0" distB="0" distL="0" distR="0" wp14:anchorId="3C59B067" wp14:editId="4637F1F6">
            <wp:extent cx="5274310" cy="3060065"/>
            <wp:effectExtent l="0" t="0" r="2540" b="6985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0600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D957E4" w14:textId="21B60FAA" w:rsidR="00DE20CF" w:rsidRDefault="00DE20CF">
      <w:r w:rsidRPr="00DE20CF">
        <w:t xml:space="preserve">Fig. S3. Collinear analysis of </w:t>
      </w:r>
      <w:proofErr w:type="spellStart"/>
      <w:r w:rsidRPr="00DE20CF">
        <w:t>PtrIBI</w:t>
      </w:r>
      <w:proofErr w:type="spellEnd"/>
      <w:r w:rsidRPr="00DE20CF">
        <w:t xml:space="preserve"> genes in </w:t>
      </w:r>
      <w:r w:rsidRPr="00DE20CF">
        <w:rPr>
          <w:i/>
          <w:iCs/>
        </w:rPr>
        <w:t xml:space="preserve">P. </w:t>
      </w:r>
      <w:proofErr w:type="spellStart"/>
      <w:r w:rsidRPr="00DE20CF">
        <w:rPr>
          <w:i/>
          <w:iCs/>
        </w:rPr>
        <w:t>trichocarpa</w:t>
      </w:r>
      <w:proofErr w:type="spellEnd"/>
      <w:r w:rsidRPr="00DE20CF">
        <w:t xml:space="preserve"> with 8 other plants. Gray lines in the background represent collinear blocks of </w:t>
      </w:r>
      <w:r w:rsidRPr="00DE20CF">
        <w:rPr>
          <w:i/>
          <w:iCs/>
        </w:rPr>
        <w:t xml:space="preserve">P. </w:t>
      </w:r>
      <w:proofErr w:type="spellStart"/>
      <w:r w:rsidRPr="00DE20CF">
        <w:rPr>
          <w:i/>
          <w:iCs/>
        </w:rPr>
        <w:t>trichocarpa</w:t>
      </w:r>
      <w:proofErr w:type="spellEnd"/>
      <w:r w:rsidRPr="00DE20CF">
        <w:t xml:space="preserve"> and other species genomes, while red lines emphasize collinear </w:t>
      </w:r>
      <w:proofErr w:type="spellStart"/>
      <w:r w:rsidRPr="00DE20CF">
        <w:t>PtrIBI</w:t>
      </w:r>
      <w:proofErr w:type="spellEnd"/>
      <w:r w:rsidRPr="00DE20CF">
        <w:t xml:space="preserve"> genes pairs. (a) </w:t>
      </w:r>
      <w:r w:rsidRPr="00DE20CF">
        <w:rPr>
          <w:i/>
          <w:iCs/>
        </w:rPr>
        <w:t>Ziziphus jujuba</w:t>
      </w:r>
      <w:r w:rsidRPr="00DE20CF">
        <w:t>. (b) Theobroma cacao. (c)</w:t>
      </w:r>
      <w:r w:rsidRPr="00DE20CF">
        <w:rPr>
          <w:i/>
          <w:iCs/>
        </w:rPr>
        <w:t xml:space="preserve"> Vitis vinifera</w:t>
      </w:r>
      <w:r w:rsidRPr="00DE20CF">
        <w:t xml:space="preserve">. (d) </w:t>
      </w:r>
      <w:r w:rsidRPr="00DE20CF">
        <w:rPr>
          <w:i/>
          <w:iCs/>
        </w:rPr>
        <w:t>Punica granatum</w:t>
      </w:r>
      <w:r w:rsidRPr="00DE20CF">
        <w:t xml:space="preserve">. (e) </w:t>
      </w:r>
      <w:r w:rsidRPr="00DE20CF">
        <w:rPr>
          <w:i/>
          <w:iCs/>
        </w:rPr>
        <w:t>Arabidopsis thaliana</w:t>
      </w:r>
      <w:r w:rsidRPr="00DE20CF">
        <w:t xml:space="preserve">. (f) </w:t>
      </w:r>
      <w:r w:rsidRPr="00DE20CF">
        <w:rPr>
          <w:i/>
          <w:iCs/>
        </w:rPr>
        <w:t>Oryza sativa</w:t>
      </w:r>
      <w:r w:rsidRPr="00DE20CF">
        <w:t xml:space="preserve">.  (g) </w:t>
      </w:r>
      <w:r w:rsidRPr="00DE20CF">
        <w:rPr>
          <w:i/>
          <w:iCs/>
        </w:rPr>
        <w:t xml:space="preserve">Triticum </w:t>
      </w:r>
      <w:proofErr w:type="spellStart"/>
      <w:r w:rsidRPr="00DE20CF">
        <w:rPr>
          <w:i/>
          <w:iCs/>
        </w:rPr>
        <w:t>aestivum</w:t>
      </w:r>
      <w:proofErr w:type="spellEnd"/>
      <w:r w:rsidRPr="00DE20CF">
        <w:t>. (h)</w:t>
      </w:r>
      <w:r w:rsidRPr="00DE20CF">
        <w:rPr>
          <w:i/>
          <w:iCs/>
        </w:rPr>
        <w:t xml:space="preserve"> </w:t>
      </w:r>
      <w:proofErr w:type="spellStart"/>
      <w:r w:rsidRPr="00DE20CF">
        <w:rPr>
          <w:i/>
          <w:iCs/>
        </w:rPr>
        <w:t>Zea</w:t>
      </w:r>
      <w:proofErr w:type="spellEnd"/>
      <w:r w:rsidRPr="00DE20CF">
        <w:rPr>
          <w:i/>
          <w:iCs/>
        </w:rPr>
        <w:t xml:space="preserve"> mays</w:t>
      </w:r>
      <w:r w:rsidRPr="00DE20CF">
        <w:t>.</w:t>
      </w:r>
    </w:p>
    <w:p w14:paraId="6083B3A3" w14:textId="77777777" w:rsidR="00DE20CF" w:rsidRDefault="00DE20CF">
      <w:pPr>
        <w:widowControl/>
        <w:jc w:val="left"/>
      </w:pPr>
      <w:r>
        <w:br w:type="page"/>
      </w:r>
    </w:p>
    <w:p w14:paraId="63432382" w14:textId="4EDDA7CC" w:rsidR="00DE20CF" w:rsidRDefault="00DE20CF">
      <w:r>
        <w:rPr>
          <w:rFonts w:hint="eastAsia"/>
          <w:noProof/>
        </w:rPr>
        <w:lastRenderedPageBreak/>
        <w:drawing>
          <wp:inline distT="0" distB="0" distL="0" distR="0" wp14:anchorId="4597614A" wp14:editId="0E0AC96A">
            <wp:extent cx="5274310" cy="1520825"/>
            <wp:effectExtent l="0" t="0" r="2540" b="3175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520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7B111B" w14:textId="3A6344F8" w:rsidR="00DE20CF" w:rsidRDefault="00DE20CF">
      <w:r w:rsidRPr="00DE20CF">
        <w:t xml:space="preserve">Fig. S4. </w:t>
      </w:r>
      <w:bookmarkStart w:id="0" w:name="OLE_LINK1"/>
      <w:r w:rsidRPr="00DE20CF">
        <w:t xml:space="preserve">Cis-elemental analysis in the </w:t>
      </w:r>
      <w:proofErr w:type="spellStart"/>
      <w:r w:rsidRPr="00DE20CF">
        <w:t>PtrIBIs</w:t>
      </w:r>
      <w:proofErr w:type="spellEnd"/>
      <w:r w:rsidRPr="00DE20CF">
        <w:t xml:space="preserve"> gene family of </w:t>
      </w:r>
      <w:r w:rsidRPr="00DE20CF">
        <w:rPr>
          <w:i/>
          <w:iCs/>
        </w:rPr>
        <w:t xml:space="preserve">P. </w:t>
      </w:r>
      <w:proofErr w:type="spellStart"/>
      <w:r w:rsidRPr="00DE20CF">
        <w:rPr>
          <w:i/>
          <w:iCs/>
        </w:rPr>
        <w:t>trichocarpa</w:t>
      </w:r>
      <w:proofErr w:type="spellEnd"/>
      <w:r w:rsidRPr="00DE20CF">
        <w:t>. Relative positions of stress and growth</w:t>
      </w:r>
      <w:r>
        <w:t xml:space="preserve"> </w:t>
      </w:r>
      <w:r w:rsidRPr="00DE20CF">
        <w:t xml:space="preserve">associated cis-elements in the promoter regions of </w:t>
      </w:r>
      <w:proofErr w:type="spellStart"/>
      <w:r w:rsidRPr="00DE20CF">
        <w:t>PtrIBIs</w:t>
      </w:r>
      <w:proofErr w:type="spellEnd"/>
      <w:r w:rsidRPr="00DE20CF">
        <w:t>. Different colors represent different cis-acting elements, and their positions correspond to the corresponding positions of the promoters.</w:t>
      </w:r>
      <w:bookmarkEnd w:id="0"/>
    </w:p>
    <w:p w14:paraId="0D59B9BC" w14:textId="77777777" w:rsidR="00DE20CF" w:rsidRDefault="00DE20CF">
      <w:pPr>
        <w:widowControl/>
        <w:jc w:val="left"/>
      </w:pPr>
      <w:r>
        <w:br w:type="page"/>
      </w:r>
    </w:p>
    <w:p w14:paraId="71A74DDE" w14:textId="776D1F57" w:rsidR="00DE20CF" w:rsidRDefault="00907D40">
      <w:r>
        <w:rPr>
          <w:rFonts w:hint="eastAsia"/>
          <w:noProof/>
        </w:rPr>
        <w:lastRenderedPageBreak/>
        <w:drawing>
          <wp:inline distT="0" distB="0" distL="0" distR="0" wp14:anchorId="4DDA88E3" wp14:editId="1BFA9685">
            <wp:extent cx="5274310" cy="5238750"/>
            <wp:effectExtent l="0" t="0" r="2540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5238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D39E59" w14:textId="77777777" w:rsidR="00907D40" w:rsidRDefault="00907D40"/>
    <w:p w14:paraId="30584132" w14:textId="7DA41571" w:rsidR="00907D40" w:rsidRDefault="00907D40">
      <w:r w:rsidRPr="00907D40">
        <w:t xml:space="preserve">Fig. S5. (a) Topical application of BABA induces improved drought tolerance in </w:t>
      </w:r>
      <w:r w:rsidRPr="00907D40">
        <w:rPr>
          <w:i/>
          <w:iCs/>
        </w:rPr>
        <w:t xml:space="preserve">P. </w:t>
      </w:r>
      <w:proofErr w:type="spellStart"/>
      <w:r w:rsidRPr="00907D40">
        <w:rPr>
          <w:i/>
          <w:iCs/>
        </w:rPr>
        <w:t>trichocarpa</w:t>
      </w:r>
      <w:proofErr w:type="spellEnd"/>
      <w:r w:rsidRPr="00907D40">
        <w:t xml:space="preserve">. (b) Chlorophyll </w:t>
      </w:r>
      <w:proofErr w:type="spellStart"/>
      <w:r w:rsidRPr="00907D40">
        <w:t>a+b</w:t>
      </w:r>
      <w:proofErr w:type="spellEnd"/>
      <w:r w:rsidRPr="00907D40">
        <w:t xml:space="preserve"> content. (c) Leaf RWC. (d) Relative electrical conductance. (e) </w:t>
      </w:r>
      <w:proofErr w:type="spellStart"/>
      <w:r w:rsidRPr="00907D40">
        <w:t>Fv</w:t>
      </w:r>
      <w:proofErr w:type="spellEnd"/>
      <w:r w:rsidRPr="00907D40">
        <w:t>/Fm.</w:t>
      </w:r>
    </w:p>
    <w:p w14:paraId="1AD78338" w14:textId="77777777" w:rsidR="00907D40" w:rsidRDefault="00907D40">
      <w:pPr>
        <w:widowControl/>
        <w:jc w:val="left"/>
      </w:pPr>
      <w:r>
        <w:br w:type="page"/>
      </w:r>
    </w:p>
    <w:p w14:paraId="1FC5ADAA" w14:textId="6C13F855" w:rsidR="00907D40" w:rsidRDefault="00907D40">
      <w:r>
        <w:rPr>
          <w:rFonts w:hint="eastAsia"/>
          <w:noProof/>
        </w:rPr>
        <w:lastRenderedPageBreak/>
        <w:drawing>
          <wp:inline distT="0" distB="0" distL="0" distR="0" wp14:anchorId="6710BB7A" wp14:editId="47DFB448">
            <wp:extent cx="5274310" cy="5953760"/>
            <wp:effectExtent l="0" t="0" r="2540" b="889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59537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2ACE56" w14:textId="3D75FC41" w:rsidR="00907D40" w:rsidRDefault="00907D40">
      <w:pPr>
        <w:rPr>
          <w:rFonts w:hint="eastAsia"/>
        </w:rPr>
      </w:pPr>
      <w:r w:rsidRPr="00907D40">
        <w:t xml:space="preserve">Fig. S6. Bioinformatic analysis of transcription factors (TFs) of </w:t>
      </w:r>
      <w:proofErr w:type="spellStart"/>
      <w:r w:rsidRPr="00907D40">
        <w:t>PtrIBIs</w:t>
      </w:r>
      <w:proofErr w:type="spellEnd"/>
      <w:r w:rsidRPr="00907D40">
        <w:t>. (a-f) TFs-</w:t>
      </w:r>
      <w:r w:rsidRPr="004E457E">
        <w:rPr>
          <w:i/>
          <w:iCs/>
        </w:rPr>
        <w:t>PtrIBI3</w:t>
      </w:r>
      <w:r w:rsidRPr="004E457E">
        <w:t>/</w:t>
      </w:r>
      <w:r w:rsidRPr="004E457E">
        <w:rPr>
          <w:i/>
          <w:iCs/>
        </w:rPr>
        <w:t>5</w:t>
      </w:r>
      <w:r w:rsidRPr="004E457E">
        <w:t>/</w:t>
      </w:r>
      <w:r w:rsidRPr="004E457E">
        <w:rPr>
          <w:i/>
          <w:iCs/>
        </w:rPr>
        <w:t>8</w:t>
      </w:r>
      <w:r w:rsidRPr="004E457E">
        <w:t>/</w:t>
      </w:r>
      <w:r w:rsidRPr="004E457E">
        <w:rPr>
          <w:i/>
          <w:iCs/>
        </w:rPr>
        <w:t>9</w:t>
      </w:r>
      <w:r w:rsidRPr="004E457E">
        <w:t>/</w:t>
      </w:r>
      <w:r w:rsidRPr="004E457E">
        <w:rPr>
          <w:i/>
          <w:iCs/>
        </w:rPr>
        <w:t>10</w:t>
      </w:r>
      <w:r w:rsidRPr="004E457E">
        <w:t>/</w:t>
      </w:r>
      <w:r w:rsidRPr="004E457E">
        <w:rPr>
          <w:i/>
          <w:iCs/>
        </w:rPr>
        <w:t>12</w:t>
      </w:r>
      <w:r w:rsidRPr="00907D40">
        <w:t xml:space="preserve"> interaction network analysis. Green circles indicate TFs upstream of </w:t>
      </w:r>
      <w:proofErr w:type="spellStart"/>
      <w:r w:rsidRPr="00907D40">
        <w:t>PtrIBIs</w:t>
      </w:r>
      <w:proofErr w:type="spellEnd"/>
      <w:r w:rsidRPr="00907D40">
        <w:t xml:space="preserve">, and </w:t>
      </w:r>
      <w:r w:rsidR="004E457E" w:rsidRPr="004E457E">
        <w:t>yellow</w:t>
      </w:r>
      <w:r w:rsidRPr="00907D40">
        <w:t xml:space="preserve"> circles represent </w:t>
      </w:r>
      <w:r w:rsidR="004E457E" w:rsidRPr="004E457E">
        <w:rPr>
          <w:i/>
          <w:iCs/>
        </w:rPr>
        <w:t>PtrIBI3</w:t>
      </w:r>
      <w:r w:rsidR="004E457E" w:rsidRPr="004E457E">
        <w:t>/</w:t>
      </w:r>
      <w:r w:rsidR="004E457E" w:rsidRPr="004E457E">
        <w:rPr>
          <w:i/>
          <w:iCs/>
        </w:rPr>
        <w:t>5</w:t>
      </w:r>
      <w:r w:rsidR="004E457E" w:rsidRPr="004E457E">
        <w:t>/</w:t>
      </w:r>
      <w:r w:rsidR="004E457E" w:rsidRPr="004E457E">
        <w:rPr>
          <w:i/>
          <w:iCs/>
        </w:rPr>
        <w:t>8</w:t>
      </w:r>
      <w:r w:rsidR="004E457E" w:rsidRPr="004E457E">
        <w:t>/</w:t>
      </w:r>
      <w:r w:rsidR="004E457E" w:rsidRPr="004E457E">
        <w:rPr>
          <w:i/>
          <w:iCs/>
        </w:rPr>
        <w:t>9</w:t>
      </w:r>
      <w:r w:rsidR="004E457E" w:rsidRPr="004E457E">
        <w:t>/</w:t>
      </w:r>
      <w:r w:rsidR="004E457E" w:rsidRPr="004E457E">
        <w:rPr>
          <w:i/>
          <w:iCs/>
        </w:rPr>
        <w:t>10</w:t>
      </w:r>
      <w:r w:rsidR="004E457E" w:rsidRPr="004E457E">
        <w:t>/</w:t>
      </w:r>
      <w:r w:rsidR="004E457E" w:rsidRPr="004E457E">
        <w:rPr>
          <w:i/>
          <w:iCs/>
        </w:rPr>
        <w:t>12</w:t>
      </w:r>
      <w:r w:rsidR="004E457E">
        <w:rPr>
          <w:i/>
          <w:iCs/>
        </w:rPr>
        <w:t>.</w:t>
      </w:r>
    </w:p>
    <w:sectPr w:rsidR="00907D40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2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303CC"/>
    <w:rsid w:val="002E140D"/>
    <w:rsid w:val="004E457E"/>
    <w:rsid w:val="00907D40"/>
    <w:rsid w:val="00D303CC"/>
    <w:rsid w:val="00DE20C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7D58FF03"/>
  <w15:chartTrackingRefBased/>
  <w15:docId w15:val="{A1558E8B-0FB2-4F30-9D2D-912533FE1B1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tiff"/><Relationship Id="rId3" Type="http://schemas.openxmlformats.org/officeDocument/2006/relationships/webSettings" Target="webSettings.xml"/><Relationship Id="rId7" Type="http://schemas.openxmlformats.org/officeDocument/2006/relationships/image" Target="media/image4.tiff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tiff"/><Relationship Id="rId11" Type="http://schemas.openxmlformats.org/officeDocument/2006/relationships/fontTable" Target="fontTable.xml"/><Relationship Id="rId5" Type="http://schemas.openxmlformats.org/officeDocument/2006/relationships/image" Target="media/image2.tiff"/><Relationship Id="rId10" Type="http://schemas.openxmlformats.org/officeDocument/2006/relationships/image" Target="media/image7.tiff"/><Relationship Id="rId4" Type="http://schemas.openxmlformats.org/officeDocument/2006/relationships/image" Target="media/image1.png"/><Relationship Id="rId9" Type="http://schemas.openxmlformats.org/officeDocument/2006/relationships/image" Target="media/image6.tiff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22</TotalTime>
  <Pages>6</Pages>
  <Words>267</Words>
  <Characters>1522</Characters>
  <Application>Microsoft Office Word</Application>
  <DocSecurity>0</DocSecurity>
  <Lines>12</Lines>
  <Paragraphs>3</Paragraphs>
  <ScaleCrop>false</ScaleCrop>
  <Company/>
  <LinksUpToDate>false</LinksUpToDate>
  <CharactersWithSpaces>1786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</dc:creator>
  <cp:keywords/>
  <dc:description/>
  <cp:lastModifiedBy>r</cp:lastModifiedBy>
  <cp:revision>2</cp:revision>
  <dcterms:created xsi:type="dcterms:W3CDTF">2023-02-22T11:17:00Z</dcterms:created>
  <dcterms:modified xsi:type="dcterms:W3CDTF">2023-02-22T11:39:00Z</dcterms:modified>
</cp:coreProperties>
</file>